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4A8BE" w14:textId="77777777" w:rsidR="00BE64F7" w:rsidRDefault="00BE64F7" w:rsidP="00BE64F7">
      <w:pPr>
        <w:rPr>
          <w:rFonts w:asciiTheme="majorHAnsi" w:hAnsiTheme="majorHAnsi"/>
          <w:b/>
          <w:sz w:val="32"/>
          <w:szCs w:val="76"/>
        </w:rPr>
      </w:pPr>
      <w:r>
        <w:rPr>
          <w:noProof/>
        </w:rPr>
        <mc:AlternateContent>
          <mc:Choice Requires="wps">
            <w:drawing>
              <wp:anchor distT="0" distB="0" distL="114300" distR="114300" simplePos="0" relativeHeight="251664384" behindDoc="0" locked="0" layoutInCell="1" allowOverlap="1" wp14:anchorId="4DAE0C98" wp14:editId="29260E98">
                <wp:simplePos x="0" y="0"/>
                <wp:positionH relativeFrom="column">
                  <wp:posOffset>3771900</wp:posOffset>
                </wp:positionH>
                <wp:positionV relativeFrom="paragraph">
                  <wp:posOffset>-228600</wp:posOffset>
                </wp:positionV>
                <wp:extent cx="2514600" cy="571500"/>
                <wp:effectExtent l="0" t="0" r="0" b="0"/>
                <wp:wrapNone/>
                <wp:docPr id="1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967FF" w14:textId="77777777" w:rsidR="004B0C48" w:rsidRPr="00807B00" w:rsidRDefault="004B0C48" w:rsidP="00BE64F7">
                            <w:pPr>
                              <w:jc w:val="center"/>
                              <w:rPr>
                                <w:rFonts w:asciiTheme="majorHAnsi" w:hAnsiTheme="majorHAnsi"/>
                                <w:b/>
                              </w:rPr>
                            </w:pPr>
                            <w:r w:rsidRPr="00807B00">
                              <w:rPr>
                                <w:rFonts w:asciiTheme="majorHAnsi" w:hAnsiTheme="majorHAnsi"/>
                                <w:b/>
                              </w:rPr>
                              <w:t>DURING INSTRUCTION</w:t>
                            </w:r>
                          </w:p>
                          <w:p w14:paraId="7BE792DA" w14:textId="77777777" w:rsidR="004B0C48" w:rsidRPr="00807B00" w:rsidRDefault="004B0C48" w:rsidP="00BE64F7">
                            <w:pPr>
                              <w:jc w:val="center"/>
                              <w:rPr>
                                <w:rFonts w:asciiTheme="majorHAnsi" w:hAnsiTheme="majorHAnsi"/>
                                <w:u w:val="single"/>
                              </w:rPr>
                            </w:pPr>
                            <w:r w:rsidRPr="00807B00">
                              <w:rPr>
                                <w:rFonts w:asciiTheme="majorHAnsi" w:hAnsiTheme="majorHAnsi"/>
                                <w:u w:val="single"/>
                              </w:rPr>
                              <w:t>Evidence of Understanding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8" o:spid="_x0000_s1026" type="#_x0000_t202" style="position:absolute;margin-left:297pt;margin-top:-17.95pt;width:198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" filled="f" stroked="f">
                <v:textbox inset=",7.2pt,,7.2pt">
                  <w:txbxContent>
                    <w:p w14:paraId="580967FF" w14:textId="77777777" w:rsidR="004B0C48" w:rsidRPr="00807B00" w:rsidRDefault="004B0C48" w:rsidP="00BE64F7">
                      <w:pPr>
                        <w:jc w:val="center"/>
                        <w:rPr>
                          <w:rFonts w:asciiTheme="majorHAnsi" w:hAnsiTheme="majorHAnsi"/>
                          <w:b/>
                        </w:rPr>
                      </w:pPr>
                      <w:r w:rsidRPr="00807B00">
                        <w:rPr>
                          <w:rFonts w:asciiTheme="majorHAnsi" w:hAnsiTheme="majorHAnsi"/>
                          <w:b/>
                        </w:rPr>
                        <w:t>DURING INSTRUCTION</w:t>
                      </w:r>
                    </w:p>
                    <w:p w14:paraId="7BE792DA" w14:textId="77777777" w:rsidR="004B0C48" w:rsidRPr="00807B00" w:rsidRDefault="004B0C48" w:rsidP="00BE64F7">
                      <w:pPr>
                        <w:jc w:val="center"/>
                        <w:rPr>
                          <w:rFonts w:asciiTheme="majorHAnsi" w:hAnsiTheme="majorHAnsi"/>
                          <w:u w:val="single"/>
                        </w:rPr>
                      </w:pPr>
                      <w:r w:rsidRPr="00807B00">
                        <w:rPr>
                          <w:rFonts w:asciiTheme="majorHAnsi" w:hAnsiTheme="majorHAnsi"/>
                          <w:u w:val="single"/>
                        </w:rPr>
                        <w:t>Evidence of Understanding</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340A9BDC" wp14:editId="160A1B12">
                <wp:simplePos x="0" y="0"/>
                <wp:positionH relativeFrom="column">
                  <wp:posOffset>3657600</wp:posOffset>
                </wp:positionH>
                <wp:positionV relativeFrom="paragraph">
                  <wp:posOffset>-228600</wp:posOffset>
                </wp:positionV>
                <wp:extent cx="520065" cy="571500"/>
                <wp:effectExtent l="0" t="0" r="0" b="0"/>
                <wp:wrapNone/>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D3458" w14:textId="77777777" w:rsidR="004B0C48" w:rsidRPr="00AC1F9B" w:rsidRDefault="004B0C48" w:rsidP="00BE64F7">
                            <w:pPr>
                              <w:rPr>
                                <w:color w:val="1F497D" w:themeColor="text2"/>
                                <w:sz w:val="96"/>
                              </w:rPr>
                            </w:pPr>
                            <w:r w:rsidRPr="00BE64F7">
                              <w:rPr>
                                <w:color w:val="1F497D" w:themeColor="text2"/>
                                <w:sz w:val="56"/>
                              </w:rPr>
                              <w:sym w:font="Wingdings" w:char="F08D"/>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4in;margin-top:-17.95pt;width:40.9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" filled="f" stroked="f">
                <v:textbox inset=",7.2pt,,7.2pt">
                  <w:txbxContent>
                    <w:p w14:paraId="1CBD3458" w14:textId="77777777" w:rsidR="004B0C48" w:rsidRPr="00AC1F9B" w:rsidRDefault="004B0C48" w:rsidP="00BE64F7">
                      <w:pPr>
                        <w:rPr>
                          <w:color w:val="1F497D" w:themeColor="text2"/>
                          <w:sz w:val="96"/>
                        </w:rPr>
                      </w:pPr>
                      <w:r w:rsidRPr="00BE64F7">
                        <w:rPr>
                          <w:color w:val="1F497D" w:themeColor="text2"/>
                          <w:sz w:val="56"/>
                        </w:rPr>
                        <w:sym w:font="Wingdings" w:char="F08D"/>
                      </w:r>
                    </w:p>
                  </w:txbxContent>
                </v:textbox>
              </v:shape>
            </w:pict>
          </mc:Fallback>
        </mc:AlternateContent>
      </w:r>
      <w:r w:rsidRPr="00E43164">
        <w:rPr>
          <w:rFonts w:asciiTheme="majorHAnsi" w:hAnsiTheme="majorHAnsi"/>
          <w:b/>
          <w:sz w:val="32"/>
          <w:szCs w:val="76"/>
        </w:rPr>
        <w:t>Robust Teaching/Learning Cycle</w:t>
      </w:r>
    </w:p>
    <w:p w14:paraId="2A2A54DF" w14:textId="77777777" w:rsidR="00BE64F7" w:rsidRPr="008A0C8C" w:rsidRDefault="00BE64F7" w:rsidP="00BE64F7">
      <w:pPr>
        <w:pStyle w:val="ListParagraph"/>
        <w:tabs>
          <w:tab w:val="left" w:pos="969"/>
        </w:tabs>
        <w:ind w:left="0"/>
        <w:rPr>
          <w:rFonts w:asciiTheme="majorHAnsi" w:hAnsiTheme="majorHAnsi"/>
          <w:sz w:val="12"/>
        </w:rPr>
      </w:pPr>
      <w:r w:rsidRPr="008A0C8C">
        <w:rPr>
          <w:rFonts w:asciiTheme="majorHAnsi" w:hAnsiTheme="majorHAnsi"/>
          <w:sz w:val="12"/>
        </w:rPr>
        <w:tab/>
      </w:r>
    </w:p>
    <w:p w14:paraId="3506AC4E" w14:textId="77777777" w:rsidR="00BE64F7" w:rsidRPr="00BE64F7" w:rsidRDefault="00BE64F7" w:rsidP="00BE64F7">
      <w:pPr>
        <w:jc w:val="center"/>
        <w:rPr>
          <w:rFonts w:asciiTheme="majorHAnsi" w:hAnsiTheme="majorHAnsi"/>
          <w:b/>
          <w:color w:val="1F497D" w:themeColor="text2"/>
          <w:sz w:val="28"/>
        </w:rPr>
      </w:pPr>
      <w:r w:rsidRPr="00BE64F7">
        <w:rPr>
          <w:rFonts w:asciiTheme="majorHAnsi" w:hAnsiTheme="majorHAnsi"/>
          <w:b/>
          <w:color w:val="1F497D" w:themeColor="text2"/>
          <w:sz w:val="28"/>
        </w:rPr>
        <w:t>How will each student demonstrate what has been learned?</w:t>
      </w:r>
    </w:p>
    <w:p w14:paraId="5C0CF624" w14:textId="77777777" w:rsidR="009B5EE1" w:rsidRDefault="009B5EE1" w:rsidP="009B5EE1">
      <w:pPr>
        <w:rPr>
          <w:rFonts w:asciiTheme="majorHAnsi" w:hAnsiTheme="majorHAnsi"/>
          <w:color w:val="1F497D" w:themeColor="text2"/>
          <w:sz w:val="20"/>
        </w:rPr>
      </w:pPr>
      <w:r w:rsidRPr="00807B00">
        <w:rPr>
          <w:rFonts w:asciiTheme="majorHAnsi" w:hAnsiTheme="majorHAnsi"/>
          <w:color w:val="1F497D" w:themeColor="text2"/>
          <w:sz w:val="20"/>
        </w:rPr>
        <w:t>Practice: Teachers intentionally plan to check for understanding and foster student ownership of learning.</w:t>
      </w:r>
    </w:p>
    <w:p w14:paraId="784B99B1" w14:textId="56D1DB85" w:rsidR="009B5EE1" w:rsidRPr="0068685A" w:rsidRDefault="009B5EE1" w:rsidP="009B5EE1">
      <w:pPr>
        <w:jc w:val="center"/>
        <w:rPr>
          <w:rFonts w:asciiTheme="majorHAnsi" w:hAnsiTheme="majorHAnsi"/>
          <w:b/>
          <w:color w:val="1F497D" w:themeColor="text2"/>
          <w:sz w:val="20"/>
        </w:rPr>
      </w:pPr>
      <w:r w:rsidRPr="00807B00">
        <w:rPr>
          <w:rFonts w:asciiTheme="majorHAnsi" w:hAnsiTheme="majorHAnsi"/>
          <w:b/>
          <w:color w:val="1F497D" w:themeColor="text2"/>
          <w:sz w:val="20"/>
        </w:rPr>
        <w:t>Teacher Quality Standards: I,</w:t>
      </w:r>
      <w:r>
        <w:rPr>
          <w:rFonts w:asciiTheme="majorHAnsi" w:hAnsiTheme="majorHAnsi"/>
          <w:b/>
          <w:color w:val="1F497D" w:themeColor="text2"/>
          <w:sz w:val="20"/>
        </w:rPr>
        <w:t xml:space="preserve"> </w:t>
      </w:r>
      <w:r w:rsidR="004B0C48">
        <w:rPr>
          <w:rFonts w:asciiTheme="majorHAnsi" w:hAnsiTheme="majorHAnsi"/>
          <w:b/>
          <w:color w:val="1F497D" w:themeColor="text2"/>
          <w:sz w:val="20"/>
        </w:rPr>
        <w:t>II, III</w:t>
      </w:r>
      <w:bookmarkStart w:id="0" w:name="_GoBack"/>
      <w:bookmarkEnd w:id="0"/>
    </w:p>
    <w:p w14:paraId="07541A9C" w14:textId="77777777" w:rsidR="00BE64F7" w:rsidRPr="00B578C2" w:rsidRDefault="00BE64F7" w:rsidP="00BE64F7">
      <w:pPr>
        <w:tabs>
          <w:tab w:val="left" w:pos="1938"/>
        </w:tabs>
        <w:rPr>
          <w:rFonts w:asciiTheme="majorHAnsi" w:hAnsiTheme="majorHAnsi"/>
          <w:sz w:val="16"/>
          <w:szCs w:val="16"/>
        </w:rPr>
      </w:pPr>
      <w:r w:rsidRPr="00B578C2">
        <w:rPr>
          <w:rFonts w:asciiTheme="majorHAnsi" w:hAnsiTheme="majorHAnsi"/>
          <w:sz w:val="16"/>
          <w:szCs w:val="16"/>
        </w:rPr>
        <w:tab/>
      </w:r>
    </w:p>
    <w:tbl>
      <w:tblPr>
        <w:tblStyle w:val="TableGrid"/>
        <w:tblW w:w="10800" w:type="dxa"/>
        <w:tblInd w:w="-972" w:type="dxa"/>
        <w:tblLook w:val="04A0" w:firstRow="1" w:lastRow="0" w:firstColumn="1" w:lastColumn="0" w:noHBand="0" w:noVBand="1"/>
      </w:tblPr>
      <w:tblGrid>
        <w:gridCol w:w="5040"/>
        <w:gridCol w:w="5760"/>
      </w:tblGrid>
      <w:tr w:rsidR="00BE64F7" w14:paraId="2E543494" w14:textId="77777777" w:rsidTr="005D4A38">
        <w:trPr>
          <w:trHeight w:val="350"/>
        </w:trPr>
        <w:tc>
          <w:tcPr>
            <w:tcW w:w="5040" w:type="dxa"/>
            <w:vAlign w:val="center"/>
          </w:tcPr>
          <w:p w14:paraId="408D772A" w14:textId="77777777" w:rsidR="00BE64F7" w:rsidRPr="00875D01" w:rsidRDefault="00BE64F7" w:rsidP="005D4A38">
            <w:pPr>
              <w:jc w:val="center"/>
              <w:rPr>
                <w:rFonts w:asciiTheme="majorHAnsi" w:hAnsiTheme="majorHAnsi"/>
                <w:b/>
              </w:rPr>
            </w:pPr>
            <w:r w:rsidRPr="00875D01">
              <w:rPr>
                <w:rFonts w:asciiTheme="majorHAnsi" w:hAnsiTheme="majorHAnsi"/>
                <w:b/>
              </w:rPr>
              <w:t>Cycle Component</w:t>
            </w:r>
          </w:p>
        </w:tc>
        <w:tc>
          <w:tcPr>
            <w:tcW w:w="5760" w:type="dxa"/>
            <w:vAlign w:val="center"/>
          </w:tcPr>
          <w:p w14:paraId="0E214B58" w14:textId="77777777" w:rsidR="00BE64F7" w:rsidRPr="00875D01" w:rsidRDefault="00BE64F7" w:rsidP="005D4A38">
            <w:pPr>
              <w:pStyle w:val="Default"/>
              <w:jc w:val="center"/>
              <w:rPr>
                <w:b/>
                <w:sz w:val="20"/>
                <w:szCs w:val="20"/>
              </w:rPr>
            </w:pPr>
            <w:r w:rsidRPr="00875D01">
              <w:rPr>
                <w:rFonts w:asciiTheme="majorHAnsi" w:hAnsiTheme="majorHAnsi"/>
                <w:b/>
              </w:rPr>
              <w:t>Correlation to Teacher Quality Standards</w:t>
            </w:r>
          </w:p>
        </w:tc>
      </w:tr>
      <w:tr w:rsidR="00BE64F7" w14:paraId="5FD2A9EC" w14:textId="77777777" w:rsidTr="005D4A38">
        <w:tc>
          <w:tcPr>
            <w:tcW w:w="5040" w:type="dxa"/>
          </w:tcPr>
          <w:p w14:paraId="6F71E1C9" w14:textId="77777777"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7EEFDBEB" w14:textId="21006F59" w:rsidR="00BE64F7" w:rsidRPr="00875D01" w:rsidRDefault="00073024" w:rsidP="005D4A38">
            <w:pPr>
              <w:rPr>
                <w:rFonts w:asciiTheme="majorHAnsi" w:hAnsiTheme="majorHAnsi"/>
                <w:b/>
              </w:rPr>
            </w:pPr>
            <w:r>
              <w:rPr>
                <w:rFonts w:asciiTheme="majorHAnsi" w:hAnsiTheme="majorHAnsi"/>
                <w:b/>
              </w:rPr>
              <w:t>Use</w:t>
            </w:r>
            <w:r w:rsidR="005D4A38">
              <w:rPr>
                <w:rFonts w:asciiTheme="majorHAnsi" w:hAnsiTheme="majorHAnsi"/>
                <w:b/>
              </w:rPr>
              <w:t xml:space="preserve"> Models and Exemplars</w:t>
            </w:r>
          </w:p>
          <w:p w14:paraId="52D4C8F8" w14:textId="77777777"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482EC303" w14:textId="6DF80C9E" w:rsidR="00BE64F7" w:rsidRDefault="00073024" w:rsidP="005D4A38">
            <w:pPr>
              <w:pStyle w:val="ListParagraph"/>
              <w:ind w:left="0"/>
              <w:rPr>
                <w:rFonts w:asciiTheme="majorHAnsi" w:hAnsiTheme="majorHAnsi"/>
                <w:sz w:val="20"/>
              </w:rPr>
            </w:pPr>
            <w:r>
              <w:rPr>
                <w:rFonts w:asciiTheme="majorHAnsi" w:hAnsiTheme="majorHAnsi"/>
                <w:sz w:val="20"/>
              </w:rPr>
              <w:t xml:space="preserve">The use of models and exemplars deepen student understanding of the learning target and </w:t>
            </w:r>
            <w:r w:rsidR="00470BBA">
              <w:rPr>
                <w:rFonts w:asciiTheme="majorHAnsi" w:hAnsiTheme="majorHAnsi"/>
                <w:sz w:val="20"/>
              </w:rPr>
              <w:t>the abstract</w:t>
            </w:r>
            <w:r>
              <w:rPr>
                <w:rFonts w:asciiTheme="majorHAnsi" w:hAnsiTheme="majorHAnsi"/>
                <w:sz w:val="20"/>
              </w:rPr>
              <w:t xml:space="preserve"> understanding of excellence.</w:t>
            </w:r>
          </w:p>
          <w:p w14:paraId="44FC19AA" w14:textId="77777777"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167164DA" w14:textId="718B8B24" w:rsidR="00BE64F7" w:rsidRPr="00B578C2" w:rsidRDefault="00073024" w:rsidP="00470BBA">
            <w:pPr>
              <w:pStyle w:val="ListParagraph"/>
              <w:ind w:left="0"/>
              <w:rPr>
                <w:rFonts w:asciiTheme="majorHAnsi" w:hAnsiTheme="majorHAnsi"/>
                <w:sz w:val="20"/>
              </w:rPr>
            </w:pPr>
            <w:r>
              <w:rPr>
                <w:rFonts w:asciiTheme="majorHAnsi" w:hAnsiTheme="majorHAnsi"/>
                <w:sz w:val="20"/>
              </w:rPr>
              <w:t xml:space="preserve">Teachers should </w:t>
            </w:r>
            <w:r w:rsidR="00470BBA">
              <w:rPr>
                <w:rFonts w:asciiTheme="majorHAnsi" w:hAnsiTheme="majorHAnsi"/>
                <w:sz w:val="20"/>
              </w:rPr>
              <w:t>engage student analysis of</w:t>
            </w:r>
            <w:r>
              <w:rPr>
                <w:rFonts w:asciiTheme="majorHAnsi" w:hAnsiTheme="majorHAnsi"/>
                <w:sz w:val="20"/>
              </w:rPr>
              <w:t xml:space="preserve"> authentic models from experts in the field </w:t>
            </w:r>
            <w:r w:rsidR="00470BBA">
              <w:rPr>
                <w:rFonts w:asciiTheme="majorHAnsi" w:hAnsiTheme="majorHAnsi"/>
                <w:sz w:val="20"/>
              </w:rPr>
              <w:t>as well as</w:t>
            </w:r>
            <w:r>
              <w:rPr>
                <w:rFonts w:asciiTheme="majorHAnsi" w:hAnsiTheme="majorHAnsi"/>
                <w:sz w:val="20"/>
              </w:rPr>
              <w:t xml:space="preserve"> student exemplars</w:t>
            </w:r>
            <w:r w:rsidR="00470BBA">
              <w:rPr>
                <w:rFonts w:asciiTheme="majorHAnsi" w:hAnsiTheme="majorHAnsi"/>
                <w:sz w:val="20"/>
              </w:rPr>
              <w:t>,</w:t>
            </w:r>
            <w:r>
              <w:rPr>
                <w:rFonts w:asciiTheme="majorHAnsi" w:hAnsiTheme="majorHAnsi"/>
                <w:sz w:val="20"/>
              </w:rPr>
              <w:t xml:space="preserve"> </w:t>
            </w:r>
            <w:r w:rsidR="00470BBA">
              <w:rPr>
                <w:rFonts w:asciiTheme="majorHAnsi" w:hAnsiTheme="majorHAnsi"/>
                <w:sz w:val="20"/>
              </w:rPr>
              <w:t xml:space="preserve">to promote understanding of the range of quality within each performance criteria. </w:t>
            </w:r>
          </w:p>
        </w:tc>
        <w:tc>
          <w:tcPr>
            <w:tcW w:w="5760" w:type="dxa"/>
          </w:tcPr>
          <w:p w14:paraId="1736CDB9" w14:textId="77777777" w:rsidR="00BE64F7" w:rsidRDefault="00BE64F7" w:rsidP="005D4A38">
            <w:pPr>
              <w:pStyle w:val="Default"/>
              <w:rPr>
                <w:rFonts w:asciiTheme="majorHAnsi" w:hAnsiTheme="majorHAnsi"/>
                <w:sz w:val="20"/>
                <w:szCs w:val="20"/>
              </w:rPr>
            </w:pPr>
          </w:p>
          <w:p w14:paraId="6732F4C0" w14:textId="77777777" w:rsidR="00BE64F7" w:rsidRDefault="000A68C7" w:rsidP="00A90B5E">
            <w:pPr>
              <w:pStyle w:val="Default"/>
              <w:numPr>
                <w:ilvl w:val="0"/>
                <w:numId w:val="1"/>
              </w:numPr>
              <w:rPr>
                <w:rFonts w:asciiTheme="majorHAnsi" w:hAnsiTheme="majorHAnsi"/>
                <w:sz w:val="20"/>
                <w:szCs w:val="20"/>
              </w:rPr>
            </w:pPr>
            <w:r>
              <w:rPr>
                <w:rFonts w:asciiTheme="majorHAnsi" w:hAnsiTheme="majorHAnsi"/>
                <w:sz w:val="20"/>
                <w:szCs w:val="20"/>
              </w:rPr>
              <w:t xml:space="preserve">Engages student in </w:t>
            </w:r>
            <w:r w:rsidR="0065669D">
              <w:rPr>
                <w:rFonts w:asciiTheme="majorHAnsi" w:hAnsiTheme="majorHAnsi"/>
                <w:sz w:val="20"/>
                <w:szCs w:val="20"/>
              </w:rPr>
              <w:t>a variety of explanations and multiple representations of concepts and ideas. (I.d</w:t>
            </w:r>
            <w:r w:rsidR="00A90B5E">
              <w:rPr>
                <w:rFonts w:asciiTheme="majorHAnsi" w:hAnsiTheme="majorHAnsi"/>
                <w:sz w:val="20"/>
                <w:szCs w:val="20"/>
              </w:rPr>
              <w:t>)</w:t>
            </w:r>
          </w:p>
          <w:p w14:paraId="6289FD63" w14:textId="77777777" w:rsidR="00A90B5E" w:rsidRDefault="00A90B5E" w:rsidP="00A90B5E">
            <w:pPr>
              <w:pStyle w:val="Default"/>
              <w:numPr>
                <w:ilvl w:val="0"/>
                <w:numId w:val="1"/>
              </w:numPr>
              <w:rPr>
                <w:rFonts w:asciiTheme="majorHAnsi" w:hAnsiTheme="majorHAnsi"/>
                <w:sz w:val="20"/>
                <w:szCs w:val="20"/>
              </w:rPr>
            </w:pPr>
            <w:r>
              <w:rPr>
                <w:rFonts w:asciiTheme="majorHAnsi" w:hAnsiTheme="majorHAnsi"/>
                <w:sz w:val="20"/>
                <w:szCs w:val="20"/>
              </w:rPr>
              <w:t>Students describe their level of performance in relation to the lesson objective (III.c)</w:t>
            </w:r>
          </w:p>
          <w:p w14:paraId="260632C1" w14:textId="77777777" w:rsidR="00A90B5E" w:rsidRDefault="00174797" w:rsidP="00A90B5E">
            <w:pPr>
              <w:pStyle w:val="Default"/>
              <w:numPr>
                <w:ilvl w:val="0"/>
                <w:numId w:val="1"/>
              </w:numPr>
              <w:rPr>
                <w:rFonts w:asciiTheme="majorHAnsi" w:hAnsiTheme="majorHAnsi"/>
                <w:sz w:val="20"/>
                <w:szCs w:val="20"/>
              </w:rPr>
            </w:pPr>
            <w:r>
              <w:rPr>
                <w:rFonts w:asciiTheme="majorHAnsi" w:hAnsiTheme="majorHAnsi"/>
                <w:sz w:val="20"/>
                <w:szCs w:val="20"/>
              </w:rPr>
              <w:t>Students use a variety of assessment methods (formative assessment data, work samples, artifacts, and quantitative performance data). (III.h)</w:t>
            </w:r>
          </w:p>
          <w:p w14:paraId="54F54130" w14:textId="4972DFAD" w:rsidR="00174797" w:rsidRPr="00A90B5E" w:rsidRDefault="00B53A7B" w:rsidP="00A90B5E">
            <w:pPr>
              <w:pStyle w:val="Default"/>
              <w:numPr>
                <w:ilvl w:val="0"/>
                <w:numId w:val="1"/>
              </w:numPr>
              <w:rPr>
                <w:rFonts w:asciiTheme="majorHAnsi" w:hAnsiTheme="majorHAnsi"/>
                <w:sz w:val="20"/>
                <w:szCs w:val="20"/>
              </w:rPr>
            </w:pPr>
            <w:r>
              <w:rPr>
                <w:rFonts w:asciiTheme="majorHAnsi" w:hAnsiTheme="majorHAnsi"/>
                <w:sz w:val="20"/>
                <w:szCs w:val="20"/>
              </w:rPr>
              <w:t>Students assume ownership by compiling portfolios of their work. (III.h)</w:t>
            </w:r>
          </w:p>
        </w:tc>
      </w:tr>
      <w:tr w:rsidR="00BE64F7" w14:paraId="21341291" w14:textId="77777777" w:rsidTr="005D4A38">
        <w:tc>
          <w:tcPr>
            <w:tcW w:w="5040" w:type="dxa"/>
          </w:tcPr>
          <w:p w14:paraId="2FCDBA9F" w14:textId="56D5D341"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027D3138" w14:textId="65C07D1E" w:rsidR="00BE64F7" w:rsidRPr="00875D01" w:rsidRDefault="005D4A38" w:rsidP="005D4A38">
            <w:pPr>
              <w:rPr>
                <w:rFonts w:asciiTheme="majorHAnsi" w:hAnsiTheme="majorHAnsi"/>
                <w:b/>
              </w:rPr>
            </w:pPr>
            <w:r>
              <w:rPr>
                <w:rFonts w:asciiTheme="majorHAnsi" w:hAnsiTheme="majorHAnsi"/>
                <w:b/>
              </w:rPr>
              <w:t>Use Evidence to Inform Instructional Adjustments</w:t>
            </w:r>
          </w:p>
          <w:p w14:paraId="17D5E173" w14:textId="77777777"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0336C3C9" w14:textId="43ECB4C4" w:rsidR="00BE64F7" w:rsidRDefault="00A64E51" w:rsidP="005D4A38">
            <w:pPr>
              <w:pStyle w:val="ListParagraph"/>
              <w:ind w:left="0"/>
              <w:rPr>
                <w:rFonts w:asciiTheme="majorHAnsi" w:hAnsiTheme="majorHAnsi"/>
                <w:sz w:val="20"/>
              </w:rPr>
            </w:pPr>
            <w:r>
              <w:rPr>
                <w:rFonts w:asciiTheme="majorHAnsi" w:hAnsiTheme="majorHAnsi"/>
                <w:sz w:val="20"/>
              </w:rPr>
              <w:t>Teachers should plan ahead to collect evidence of student learning during the lesson delivery.  The elicited</w:t>
            </w:r>
            <w:r w:rsidR="004F4378">
              <w:rPr>
                <w:rFonts w:asciiTheme="majorHAnsi" w:hAnsiTheme="majorHAnsi"/>
                <w:sz w:val="20"/>
              </w:rPr>
              <w:t xml:space="preserve"> </w:t>
            </w:r>
            <w:r>
              <w:rPr>
                <w:rFonts w:asciiTheme="majorHAnsi" w:hAnsiTheme="majorHAnsi"/>
                <w:sz w:val="20"/>
              </w:rPr>
              <w:t xml:space="preserve">assessment evidence should provide immediate instructional adjustments during the lesson, near-future adjustments for upcoming lessons, and </w:t>
            </w:r>
            <w:r w:rsidR="00B93749">
              <w:rPr>
                <w:rFonts w:asciiTheme="majorHAnsi" w:hAnsiTheme="majorHAnsi"/>
                <w:sz w:val="20"/>
              </w:rPr>
              <w:t xml:space="preserve">last-chance adjustments </w:t>
            </w:r>
            <w:r w:rsidR="004F4378">
              <w:rPr>
                <w:rFonts w:asciiTheme="majorHAnsi" w:hAnsiTheme="majorHAnsi"/>
                <w:sz w:val="20"/>
              </w:rPr>
              <w:t>during</w:t>
            </w:r>
            <w:r w:rsidR="00B93749">
              <w:rPr>
                <w:rFonts w:asciiTheme="majorHAnsi" w:hAnsiTheme="majorHAnsi"/>
                <w:sz w:val="20"/>
              </w:rPr>
              <w:t xml:space="preserve"> the waning hours </w:t>
            </w:r>
            <w:r w:rsidR="004F4378">
              <w:rPr>
                <w:rFonts w:asciiTheme="majorHAnsi" w:hAnsiTheme="majorHAnsi"/>
                <w:sz w:val="20"/>
              </w:rPr>
              <w:t>the unit’s end.</w:t>
            </w:r>
          </w:p>
          <w:p w14:paraId="6701B9AD" w14:textId="77777777" w:rsidR="00BE64F7" w:rsidRPr="008A0C8C" w:rsidRDefault="00BE64F7" w:rsidP="005D4A38">
            <w:pPr>
              <w:pStyle w:val="ListParagraph"/>
              <w:tabs>
                <w:tab w:val="left" w:pos="969"/>
              </w:tabs>
              <w:ind w:left="0"/>
              <w:rPr>
                <w:rFonts w:asciiTheme="majorHAnsi" w:hAnsiTheme="majorHAnsi"/>
                <w:sz w:val="12"/>
              </w:rPr>
            </w:pPr>
            <w:r>
              <w:rPr>
                <w:rFonts w:asciiTheme="majorHAnsi" w:hAnsiTheme="majorHAnsi"/>
                <w:sz w:val="20"/>
              </w:rPr>
              <w:tab/>
            </w:r>
            <w:r w:rsidRPr="008A0C8C">
              <w:rPr>
                <w:rFonts w:asciiTheme="majorHAnsi" w:hAnsiTheme="majorHAnsi"/>
                <w:sz w:val="12"/>
              </w:rPr>
              <w:tab/>
            </w:r>
          </w:p>
          <w:p w14:paraId="483D22E0" w14:textId="70A39717" w:rsidR="00BE64F7" w:rsidRPr="002A5078" w:rsidRDefault="00BE64F7" w:rsidP="00DB501A">
            <w:pPr>
              <w:rPr>
                <w:rFonts w:asciiTheme="majorHAnsi" w:hAnsiTheme="majorHAnsi"/>
                <w:sz w:val="20"/>
              </w:rPr>
            </w:pPr>
            <w:r>
              <w:rPr>
                <w:rFonts w:asciiTheme="majorHAnsi" w:hAnsiTheme="majorHAnsi"/>
                <w:sz w:val="20"/>
              </w:rPr>
              <w:t xml:space="preserve">A variety of formal and informal methods should be used to collect evidence of student learning aligned with the standards-based learning target.  </w:t>
            </w:r>
            <w:r w:rsidR="00B93749">
              <w:rPr>
                <w:rFonts w:asciiTheme="majorHAnsi" w:hAnsiTheme="majorHAnsi"/>
                <w:sz w:val="20"/>
              </w:rPr>
              <w:t xml:space="preserve">Teachers should </w:t>
            </w:r>
            <w:r w:rsidR="00DB501A">
              <w:rPr>
                <w:rFonts w:asciiTheme="majorHAnsi" w:hAnsiTheme="majorHAnsi"/>
                <w:sz w:val="20"/>
              </w:rPr>
              <w:t>use</w:t>
            </w:r>
            <w:r w:rsidR="00B93749">
              <w:rPr>
                <w:rFonts w:asciiTheme="majorHAnsi" w:hAnsiTheme="majorHAnsi"/>
                <w:sz w:val="20"/>
              </w:rPr>
              <w:t xml:space="preserve"> data collection </w:t>
            </w:r>
            <w:r w:rsidR="00DB501A">
              <w:rPr>
                <w:rFonts w:asciiTheme="majorHAnsi" w:hAnsiTheme="majorHAnsi"/>
                <w:sz w:val="20"/>
              </w:rPr>
              <w:t>strategies</w:t>
            </w:r>
            <w:r w:rsidR="00B93749">
              <w:rPr>
                <w:rFonts w:asciiTheme="majorHAnsi" w:hAnsiTheme="majorHAnsi"/>
                <w:sz w:val="20"/>
              </w:rPr>
              <w:t xml:space="preserve"> to </w:t>
            </w:r>
            <w:r w:rsidR="00DB501A">
              <w:rPr>
                <w:rFonts w:asciiTheme="majorHAnsi" w:hAnsiTheme="majorHAnsi"/>
                <w:sz w:val="20"/>
              </w:rPr>
              <w:t>organize</w:t>
            </w:r>
            <w:r w:rsidR="00B93749">
              <w:rPr>
                <w:rFonts w:asciiTheme="majorHAnsi" w:hAnsiTheme="majorHAnsi"/>
                <w:sz w:val="20"/>
              </w:rPr>
              <w:t xml:space="preserve"> </w:t>
            </w:r>
            <w:r w:rsidR="00DB501A">
              <w:rPr>
                <w:rFonts w:asciiTheme="majorHAnsi" w:hAnsiTheme="majorHAnsi"/>
                <w:sz w:val="20"/>
              </w:rPr>
              <w:t>learning evidence</w:t>
            </w:r>
            <w:r w:rsidR="00B93749">
              <w:rPr>
                <w:rFonts w:asciiTheme="majorHAnsi" w:hAnsiTheme="majorHAnsi"/>
                <w:sz w:val="20"/>
              </w:rPr>
              <w:t xml:space="preserve">. </w:t>
            </w:r>
          </w:p>
        </w:tc>
        <w:tc>
          <w:tcPr>
            <w:tcW w:w="5760" w:type="dxa"/>
          </w:tcPr>
          <w:p w14:paraId="6C6FD3F9" w14:textId="77777777" w:rsidR="00BE64F7" w:rsidRDefault="00BE64F7" w:rsidP="005D4A38">
            <w:pPr>
              <w:pStyle w:val="Default"/>
              <w:rPr>
                <w:rFonts w:asciiTheme="majorHAnsi" w:hAnsiTheme="majorHAnsi"/>
                <w:sz w:val="20"/>
                <w:szCs w:val="20"/>
              </w:rPr>
            </w:pPr>
          </w:p>
          <w:p w14:paraId="0486FDE5" w14:textId="1C1E56EF" w:rsidR="00A64E51" w:rsidRDefault="00A64E51" w:rsidP="005D4A38">
            <w:pPr>
              <w:pStyle w:val="Default"/>
              <w:numPr>
                <w:ilvl w:val="0"/>
                <w:numId w:val="1"/>
              </w:numPr>
              <w:rPr>
                <w:rFonts w:asciiTheme="majorHAnsi" w:hAnsiTheme="majorHAnsi"/>
                <w:sz w:val="20"/>
                <w:szCs w:val="20"/>
              </w:rPr>
            </w:pPr>
            <w:r>
              <w:rPr>
                <w:rFonts w:asciiTheme="majorHAnsi" w:hAnsiTheme="majorHAnsi"/>
                <w:sz w:val="20"/>
                <w:szCs w:val="20"/>
              </w:rPr>
              <w:t>Teachers use appropriate methods to assess what each student has learning, including formal and informal assessments and uses the results to plan further instruction. (III.h)</w:t>
            </w:r>
          </w:p>
          <w:p w14:paraId="1209B9C6" w14:textId="0AF5208E" w:rsidR="00BE64F7" w:rsidRDefault="00D967AE" w:rsidP="005D4A38">
            <w:pPr>
              <w:pStyle w:val="Default"/>
              <w:numPr>
                <w:ilvl w:val="0"/>
                <w:numId w:val="1"/>
              </w:numPr>
              <w:rPr>
                <w:rFonts w:asciiTheme="majorHAnsi" w:hAnsiTheme="majorHAnsi"/>
                <w:sz w:val="20"/>
                <w:szCs w:val="20"/>
              </w:rPr>
            </w:pPr>
            <w:r>
              <w:rPr>
                <w:rFonts w:asciiTheme="majorHAnsi" w:hAnsiTheme="majorHAnsi"/>
                <w:sz w:val="20"/>
                <w:szCs w:val="20"/>
              </w:rPr>
              <w:t>The teacher aligns instruction with student needs. (I.a)</w:t>
            </w:r>
          </w:p>
          <w:p w14:paraId="78EE9178" w14:textId="57ED7132" w:rsidR="00D967AE" w:rsidRDefault="00D967AE" w:rsidP="005D4A38">
            <w:pPr>
              <w:pStyle w:val="Default"/>
              <w:numPr>
                <w:ilvl w:val="0"/>
                <w:numId w:val="1"/>
              </w:numPr>
              <w:rPr>
                <w:rFonts w:asciiTheme="majorHAnsi" w:hAnsiTheme="majorHAnsi"/>
                <w:sz w:val="20"/>
                <w:szCs w:val="20"/>
              </w:rPr>
            </w:pPr>
            <w:r>
              <w:rPr>
                <w:rFonts w:asciiTheme="majorHAnsi" w:hAnsiTheme="majorHAnsi"/>
                <w:sz w:val="20"/>
                <w:szCs w:val="20"/>
              </w:rPr>
              <w:t>Provides literacy instruction that is needs-based and focused on the ability to read complex texts and independent reading. (I.b)</w:t>
            </w:r>
          </w:p>
          <w:p w14:paraId="2E9B17FB" w14:textId="37F39322" w:rsidR="00D967AE" w:rsidRDefault="00D967AE" w:rsidP="005D4A38">
            <w:pPr>
              <w:pStyle w:val="Default"/>
              <w:numPr>
                <w:ilvl w:val="0"/>
                <w:numId w:val="1"/>
              </w:numPr>
              <w:rPr>
                <w:rFonts w:asciiTheme="majorHAnsi" w:hAnsiTheme="majorHAnsi"/>
                <w:sz w:val="20"/>
                <w:szCs w:val="20"/>
              </w:rPr>
            </w:pPr>
            <w:r>
              <w:rPr>
                <w:rFonts w:asciiTheme="majorHAnsi" w:hAnsiTheme="majorHAnsi"/>
                <w:sz w:val="20"/>
                <w:szCs w:val="20"/>
              </w:rPr>
              <w:t>Adapts instructional strategies to meet student needs (II.d)</w:t>
            </w:r>
          </w:p>
          <w:p w14:paraId="3FC9D7F9" w14:textId="625587B0" w:rsidR="00D967AE" w:rsidRDefault="002B5B97" w:rsidP="005D4A38">
            <w:pPr>
              <w:pStyle w:val="Default"/>
              <w:numPr>
                <w:ilvl w:val="0"/>
                <w:numId w:val="1"/>
              </w:numPr>
              <w:rPr>
                <w:rFonts w:asciiTheme="majorHAnsi" w:hAnsiTheme="majorHAnsi"/>
                <w:sz w:val="20"/>
                <w:szCs w:val="20"/>
              </w:rPr>
            </w:pPr>
            <w:r>
              <w:rPr>
                <w:rFonts w:asciiTheme="majorHAnsi" w:hAnsiTheme="majorHAnsi"/>
                <w:sz w:val="20"/>
                <w:szCs w:val="20"/>
              </w:rPr>
              <w:t xml:space="preserve">Adapts lessons to address student </w:t>
            </w:r>
            <w:r w:rsidR="00A64E51">
              <w:rPr>
                <w:rFonts w:asciiTheme="majorHAnsi" w:hAnsiTheme="majorHAnsi"/>
                <w:sz w:val="20"/>
                <w:szCs w:val="20"/>
              </w:rPr>
              <w:t>stren</w:t>
            </w:r>
            <w:r w:rsidR="009F1A69">
              <w:rPr>
                <w:rFonts w:asciiTheme="majorHAnsi" w:hAnsiTheme="majorHAnsi"/>
                <w:sz w:val="20"/>
                <w:szCs w:val="20"/>
              </w:rPr>
              <w:t>gths/</w:t>
            </w:r>
            <w:r>
              <w:rPr>
                <w:rFonts w:asciiTheme="majorHAnsi" w:hAnsiTheme="majorHAnsi"/>
                <w:sz w:val="20"/>
                <w:szCs w:val="20"/>
              </w:rPr>
              <w:t>weaknesses</w:t>
            </w:r>
            <w:r w:rsidR="00877951">
              <w:rPr>
                <w:rFonts w:asciiTheme="majorHAnsi" w:hAnsiTheme="majorHAnsi"/>
                <w:sz w:val="20"/>
                <w:szCs w:val="20"/>
              </w:rPr>
              <w:t>.</w:t>
            </w:r>
            <w:r>
              <w:rPr>
                <w:rFonts w:asciiTheme="majorHAnsi" w:hAnsiTheme="majorHAnsi"/>
                <w:sz w:val="20"/>
                <w:szCs w:val="20"/>
              </w:rPr>
              <w:t xml:space="preserve"> </w:t>
            </w:r>
            <w:r w:rsidR="00A64E51">
              <w:rPr>
                <w:rFonts w:asciiTheme="majorHAnsi" w:hAnsiTheme="majorHAnsi"/>
                <w:sz w:val="20"/>
                <w:szCs w:val="20"/>
              </w:rPr>
              <w:t>(III.a)</w:t>
            </w:r>
          </w:p>
          <w:p w14:paraId="40B3F148" w14:textId="17C98FF0" w:rsidR="00A64E51" w:rsidRDefault="00A64E51" w:rsidP="005D4A38">
            <w:pPr>
              <w:pStyle w:val="Default"/>
              <w:numPr>
                <w:ilvl w:val="0"/>
                <w:numId w:val="1"/>
              </w:numPr>
              <w:rPr>
                <w:rFonts w:asciiTheme="majorHAnsi" w:hAnsiTheme="majorHAnsi"/>
                <w:sz w:val="20"/>
                <w:szCs w:val="20"/>
              </w:rPr>
            </w:pPr>
            <w:r>
              <w:rPr>
                <w:rFonts w:asciiTheme="majorHAnsi" w:hAnsiTheme="majorHAnsi"/>
                <w:sz w:val="20"/>
                <w:szCs w:val="20"/>
              </w:rPr>
              <w:t>Teacher monitors instruction against student performance and makes real-time adjustments. (III.b)</w:t>
            </w:r>
          </w:p>
          <w:p w14:paraId="5B241A77" w14:textId="0CD143BC" w:rsidR="00BE64F7" w:rsidRDefault="00A64E51" w:rsidP="00B93749">
            <w:pPr>
              <w:pStyle w:val="Default"/>
              <w:numPr>
                <w:ilvl w:val="0"/>
                <w:numId w:val="1"/>
              </w:numPr>
              <w:rPr>
                <w:rFonts w:asciiTheme="majorHAnsi" w:hAnsiTheme="majorHAnsi"/>
                <w:sz w:val="20"/>
                <w:szCs w:val="20"/>
              </w:rPr>
            </w:pPr>
            <w:r>
              <w:rPr>
                <w:rFonts w:asciiTheme="majorHAnsi" w:hAnsiTheme="majorHAnsi"/>
                <w:sz w:val="20"/>
                <w:szCs w:val="20"/>
              </w:rPr>
              <w:t>Adjusts group composition based on student needs. (III.f)</w:t>
            </w:r>
          </w:p>
          <w:p w14:paraId="1A289049" w14:textId="1318280A" w:rsidR="00D03BE7" w:rsidRPr="00B93749" w:rsidRDefault="00D03BE7" w:rsidP="00B93749">
            <w:pPr>
              <w:pStyle w:val="Default"/>
              <w:numPr>
                <w:ilvl w:val="0"/>
                <w:numId w:val="1"/>
              </w:numPr>
              <w:rPr>
                <w:rFonts w:asciiTheme="majorHAnsi" w:hAnsiTheme="majorHAnsi"/>
                <w:sz w:val="20"/>
                <w:szCs w:val="20"/>
              </w:rPr>
            </w:pPr>
            <w:r>
              <w:rPr>
                <w:rFonts w:asciiTheme="majorHAnsi" w:hAnsiTheme="majorHAnsi"/>
                <w:sz w:val="20"/>
                <w:szCs w:val="20"/>
              </w:rPr>
              <w:t>Teachers demonstrate that they analyze student learning, development and growth and apply what they learn to improve their practice.</w:t>
            </w:r>
          </w:p>
        </w:tc>
      </w:tr>
      <w:tr w:rsidR="00BE64F7" w14:paraId="5AF7BF71" w14:textId="77777777" w:rsidTr="00C95191">
        <w:trPr>
          <w:trHeight w:val="2969"/>
        </w:trPr>
        <w:tc>
          <w:tcPr>
            <w:tcW w:w="5040" w:type="dxa"/>
          </w:tcPr>
          <w:p w14:paraId="65B91A8B" w14:textId="01F8D102"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093C267C" w14:textId="02EE5BFC" w:rsidR="00BE64F7" w:rsidRPr="00022574" w:rsidRDefault="005D4A38" w:rsidP="005D4A38">
            <w:pPr>
              <w:rPr>
                <w:rFonts w:asciiTheme="majorHAnsi" w:hAnsiTheme="majorHAnsi"/>
                <w:b/>
              </w:rPr>
            </w:pPr>
            <w:r>
              <w:rPr>
                <w:rFonts w:asciiTheme="majorHAnsi" w:hAnsiTheme="majorHAnsi"/>
                <w:b/>
              </w:rPr>
              <w:t>Provide Descriptive Feedback</w:t>
            </w:r>
          </w:p>
          <w:p w14:paraId="639D0A4F" w14:textId="77777777"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781742CE" w14:textId="77777777" w:rsidR="00BE64F7" w:rsidRDefault="00646D55" w:rsidP="005D4A38">
            <w:pPr>
              <w:rPr>
                <w:rFonts w:asciiTheme="majorHAnsi" w:hAnsiTheme="majorHAnsi"/>
                <w:sz w:val="20"/>
              </w:rPr>
            </w:pPr>
            <w:r>
              <w:rPr>
                <w:rFonts w:asciiTheme="majorHAnsi" w:hAnsiTheme="majorHAnsi"/>
                <w:sz w:val="20"/>
              </w:rPr>
              <w:t xml:space="preserve">A valid and reliable system to assigning grades is foundation to providing clear communication with students and families about their learning progress. </w:t>
            </w:r>
          </w:p>
          <w:p w14:paraId="2F6ACB8D" w14:textId="77777777" w:rsidR="00CD70E9" w:rsidRPr="002B5B97" w:rsidRDefault="00CD70E9" w:rsidP="005D4A38">
            <w:pPr>
              <w:rPr>
                <w:rFonts w:asciiTheme="majorHAnsi" w:hAnsiTheme="majorHAnsi"/>
                <w:sz w:val="12"/>
                <w:szCs w:val="12"/>
              </w:rPr>
            </w:pPr>
          </w:p>
          <w:p w14:paraId="2E4B9D50" w14:textId="7EB6A5C6" w:rsidR="00CD70E9" w:rsidRPr="00E44F15" w:rsidRDefault="00736A44" w:rsidP="00CD70E9">
            <w:pPr>
              <w:rPr>
                <w:rFonts w:asciiTheme="majorHAnsi" w:hAnsiTheme="majorHAnsi"/>
                <w:sz w:val="20"/>
              </w:rPr>
            </w:pPr>
            <w:r>
              <w:rPr>
                <w:rFonts w:asciiTheme="majorHAnsi" w:hAnsiTheme="majorHAnsi"/>
                <w:sz w:val="20"/>
              </w:rPr>
              <w:t>P</w:t>
            </w:r>
            <w:r w:rsidR="00CD70E9">
              <w:rPr>
                <w:rFonts w:asciiTheme="majorHAnsi" w:hAnsiTheme="majorHAnsi"/>
                <w:sz w:val="20"/>
              </w:rPr>
              <w:t xml:space="preserve">roficient educators provide and help students use descriptive, timely, specific and individualized feedback about the quality of their work. </w:t>
            </w:r>
            <w:r w:rsidR="006F752C">
              <w:rPr>
                <w:rFonts w:asciiTheme="majorHAnsi" w:hAnsiTheme="majorHAnsi"/>
                <w:sz w:val="20"/>
              </w:rPr>
              <w:t>When all students can effectively use and apply formal and informal feedback to monitor and accelerate their learning, a teacher is accomplished and/or exemplary.</w:t>
            </w:r>
          </w:p>
        </w:tc>
        <w:tc>
          <w:tcPr>
            <w:tcW w:w="5760" w:type="dxa"/>
          </w:tcPr>
          <w:p w14:paraId="25DEC228" w14:textId="77777777" w:rsidR="00BE64F7" w:rsidRDefault="00BE64F7" w:rsidP="005D4A38">
            <w:pPr>
              <w:pStyle w:val="Default"/>
              <w:rPr>
                <w:rFonts w:asciiTheme="majorHAnsi" w:hAnsiTheme="majorHAnsi"/>
                <w:sz w:val="20"/>
                <w:szCs w:val="20"/>
              </w:rPr>
            </w:pPr>
          </w:p>
          <w:p w14:paraId="7C5D5839" w14:textId="7DA1253A" w:rsidR="00BE64F7" w:rsidRDefault="00BE64F7" w:rsidP="00646D55">
            <w:pPr>
              <w:pStyle w:val="Default"/>
              <w:numPr>
                <w:ilvl w:val="0"/>
                <w:numId w:val="1"/>
              </w:numPr>
              <w:rPr>
                <w:rFonts w:asciiTheme="majorHAnsi" w:hAnsiTheme="majorHAnsi"/>
                <w:sz w:val="20"/>
                <w:szCs w:val="20"/>
              </w:rPr>
            </w:pPr>
            <w:r>
              <w:rPr>
                <w:rFonts w:asciiTheme="majorHAnsi" w:hAnsiTheme="majorHAnsi"/>
                <w:sz w:val="20"/>
                <w:szCs w:val="20"/>
              </w:rPr>
              <w:t xml:space="preserve">The teacher </w:t>
            </w:r>
            <w:r w:rsidR="00646D55">
              <w:rPr>
                <w:rFonts w:asciiTheme="majorHAnsi" w:hAnsiTheme="majorHAnsi"/>
                <w:sz w:val="20"/>
                <w:szCs w:val="20"/>
              </w:rPr>
              <w:t>pro</w:t>
            </w:r>
            <w:r w:rsidR="00736A44">
              <w:rPr>
                <w:rFonts w:asciiTheme="majorHAnsi" w:hAnsiTheme="majorHAnsi"/>
                <w:sz w:val="20"/>
                <w:szCs w:val="20"/>
              </w:rPr>
              <w:t>vides frequent, timely, specific,</w:t>
            </w:r>
            <w:r w:rsidR="00646D55">
              <w:rPr>
                <w:rFonts w:asciiTheme="majorHAnsi" w:hAnsiTheme="majorHAnsi"/>
                <w:sz w:val="20"/>
                <w:szCs w:val="20"/>
              </w:rPr>
              <w:t xml:space="preserve"> individualized feedback about the quality of the student work. (III.h)</w:t>
            </w:r>
          </w:p>
          <w:p w14:paraId="7FB9B546" w14:textId="715C9B75" w:rsidR="00646D55" w:rsidRDefault="00D03BE7" w:rsidP="00646D55">
            <w:pPr>
              <w:pStyle w:val="Default"/>
              <w:numPr>
                <w:ilvl w:val="0"/>
                <w:numId w:val="1"/>
              </w:numPr>
              <w:rPr>
                <w:rFonts w:asciiTheme="majorHAnsi" w:hAnsiTheme="majorHAnsi"/>
                <w:sz w:val="20"/>
                <w:szCs w:val="20"/>
              </w:rPr>
            </w:pPr>
            <w:r>
              <w:rPr>
                <w:rFonts w:asciiTheme="majorHAnsi" w:hAnsiTheme="majorHAnsi"/>
                <w:sz w:val="20"/>
                <w:szCs w:val="20"/>
              </w:rPr>
              <w:t>Teachers teach</w:t>
            </w:r>
            <w:r w:rsidR="00646D55">
              <w:rPr>
                <w:rFonts w:asciiTheme="majorHAnsi" w:hAnsiTheme="majorHAnsi"/>
                <w:sz w:val="20"/>
                <w:szCs w:val="20"/>
              </w:rPr>
              <w:t xml:space="preserve"> students to use feedback in their learning. (III.h)</w:t>
            </w:r>
          </w:p>
          <w:p w14:paraId="54AF640D" w14:textId="77777777" w:rsidR="00646D55" w:rsidRDefault="00646D55" w:rsidP="00646D55">
            <w:pPr>
              <w:pStyle w:val="Default"/>
              <w:numPr>
                <w:ilvl w:val="0"/>
                <w:numId w:val="1"/>
              </w:numPr>
              <w:rPr>
                <w:rFonts w:asciiTheme="majorHAnsi" w:hAnsiTheme="majorHAnsi"/>
                <w:sz w:val="20"/>
                <w:szCs w:val="20"/>
              </w:rPr>
            </w:pPr>
            <w:r>
              <w:rPr>
                <w:rFonts w:asciiTheme="majorHAnsi" w:hAnsiTheme="majorHAnsi"/>
                <w:sz w:val="20"/>
                <w:szCs w:val="20"/>
              </w:rPr>
              <w:t>Students should effectively use and apply teacher feedback to improve performance and accelerate their learning. (III.h)</w:t>
            </w:r>
          </w:p>
          <w:p w14:paraId="3AC6A9CB" w14:textId="4B60AA9E" w:rsidR="00646D55" w:rsidRDefault="00646D55" w:rsidP="00646D55">
            <w:pPr>
              <w:pStyle w:val="Default"/>
              <w:numPr>
                <w:ilvl w:val="0"/>
                <w:numId w:val="1"/>
              </w:numPr>
              <w:rPr>
                <w:rFonts w:asciiTheme="majorHAnsi" w:hAnsiTheme="majorHAnsi"/>
                <w:sz w:val="20"/>
                <w:szCs w:val="20"/>
              </w:rPr>
            </w:pPr>
            <w:r>
              <w:rPr>
                <w:rFonts w:asciiTheme="majorHAnsi" w:hAnsiTheme="majorHAnsi"/>
                <w:sz w:val="20"/>
                <w:szCs w:val="20"/>
              </w:rPr>
              <w:t>Teachers should establish consistent and appropriate strategies for assigning grades. (III.h)</w:t>
            </w:r>
          </w:p>
          <w:p w14:paraId="240E7DAB" w14:textId="2322878B" w:rsidR="00BE64F7" w:rsidRPr="00736A44" w:rsidRDefault="00646D55" w:rsidP="005D4A38">
            <w:pPr>
              <w:pStyle w:val="Default"/>
              <w:numPr>
                <w:ilvl w:val="0"/>
                <w:numId w:val="1"/>
              </w:numPr>
              <w:rPr>
                <w:rFonts w:asciiTheme="majorHAnsi" w:hAnsiTheme="majorHAnsi"/>
                <w:sz w:val="20"/>
                <w:szCs w:val="20"/>
              </w:rPr>
            </w:pPr>
            <w:r>
              <w:rPr>
                <w:rFonts w:asciiTheme="majorHAnsi" w:hAnsiTheme="majorHAnsi"/>
                <w:sz w:val="20"/>
                <w:szCs w:val="20"/>
              </w:rPr>
              <w:t>Teachers should base grades on multiple measures that provide a comprehensive and consistent picture of student knowledge and skills in relation to the standard. (III.h)</w:t>
            </w:r>
          </w:p>
        </w:tc>
      </w:tr>
      <w:tr w:rsidR="00BE64F7" w14:paraId="3780F2A2" w14:textId="77777777" w:rsidTr="005D4A38">
        <w:trPr>
          <w:trHeight w:val="2789"/>
        </w:trPr>
        <w:tc>
          <w:tcPr>
            <w:tcW w:w="5040" w:type="dxa"/>
          </w:tcPr>
          <w:p w14:paraId="6D784656" w14:textId="43A493AA"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3A2F4DD9" w14:textId="10B3E51B" w:rsidR="00BE64F7" w:rsidRPr="00994189" w:rsidRDefault="005D4A38" w:rsidP="005D4A38">
            <w:pPr>
              <w:rPr>
                <w:rFonts w:asciiTheme="majorHAnsi" w:hAnsiTheme="majorHAnsi"/>
                <w:b/>
              </w:rPr>
            </w:pPr>
            <w:r>
              <w:rPr>
                <w:rFonts w:asciiTheme="majorHAnsi" w:hAnsiTheme="majorHAnsi"/>
                <w:b/>
              </w:rPr>
              <w:t>Involve Students in Self-Evaluation, Self-Monitoring and Goal-Setting</w:t>
            </w:r>
          </w:p>
          <w:p w14:paraId="43CA5A5E" w14:textId="77777777"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44F9AE80" w14:textId="77777777" w:rsidR="00BE64F7" w:rsidRDefault="00BE64F7" w:rsidP="005D4A38">
            <w:pPr>
              <w:pStyle w:val="ListParagraph"/>
              <w:ind w:left="0"/>
              <w:rPr>
                <w:rFonts w:asciiTheme="majorHAnsi" w:hAnsiTheme="majorHAnsi"/>
                <w:sz w:val="20"/>
              </w:rPr>
            </w:pPr>
            <w:r>
              <w:rPr>
                <w:rFonts w:asciiTheme="majorHAnsi" w:hAnsiTheme="majorHAnsi"/>
                <w:sz w:val="20"/>
              </w:rPr>
              <w:t>In order to maximize student learning, students should fully comprehend what they need to know, understand and be able to do to perform at mastery levels.</w:t>
            </w:r>
          </w:p>
          <w:p w14:paraId="39A842FC" w14:textId="77777777" w:rsidR="00BE64F7" w:rsidRPr="008A0C8C" w:rsidRDefault="00BE64F7" w:rsidP="005D4A38">
            <w:pPr>
              <w:pStyle w:val="ListParagraph"/>
              <w:tabs>
                <w:tab w:val="left" w:pos="969"/>
              </w:tabs>
              <w:ind w:left="0"/>
              <w:rPr>
                <w:rFonts w:asciiTheme="majorHAnsi" w:hAnsiTheme="majorHAnsi"/>
                <w:sz w:val="12"/>
              </w:rPr>
            </w:pPr>
            <w:r w:rsidRPr="008A0C8C">
              <w:rPr>
                <w:rFonts w:asciiTheme="majorHAnsi" w:hAnsiTheme="majorHAnsi"/>
                <w:sz w:val="12"/>
              </w:rPr>
              <w:tab/>
            </w:r>
          </w:p>
          <w:p w14:paraId="071E9943" w14:textId="77777777" w:rsidR="00BE64F7" w:rsidRPr="00B578C2" w:rsidRDefault="00BE64F7" w:rsidP="005D4A38">
            <w:pPr>
              <w:pStyle w:val="ListParagraph"/>
              <w:ind w:left="0"/>
              <w:rPr>
                <w:rFonts w:asciiTheme="majorHAnsi" w:hAnsiTheme="majorHAnsi"/>
                <w:sz w:val="20"/>
              </w:rPr>
            </w:pPr>
            <w:r>
              <w:rPr>
                <w:rFonts w:asciiTheme="majorHAnsi" w:hAnsiTheme="majorHAnsi"/>
                <w:sz w:val="20"/>
              </w:rPr>
              <w:t>Teachers should use a variety of strategies to clearly inform students of the intended learning targets.  Teachers should ensure that students articulate their learning expectations and what mastery looks like in order to empower students to take charge of their own learning.</w:t>
            </w:r>
          </w:p>
        </w:tc>
        <w:tc>
          <w:tcPr>
            <w:tcW w:w="5760" w:type="dxa"/>
          </w:tcPr>
          <w:p w14:paraId="3BEA5F67" w14:textId="77777777" w:rsidR="00BE64F7" w:rsidRPr="00CE710A" w:rsidRDefault="00BE64F7" w:rsidP="00CE710A">
            <w:pPr>
              <w:pStyle w:val="Default"/>
              <w:ind w:firstLine="720"/>
              <w:rPr>
                <w:rFonts w:asciiTheme="majorHAnsi" w:hAnsiTheme="majorHAnsi"/>
                <w:sz w:val="12"/>
                <w:szCs w:val="12"/>
              </w:rPr>
            </w:pPr>
          </w:p>
          <w:p w14:paraId="484604C6" w14:textId="5E6AD092" w:rsidR="00BE64F7" w:rsidRDefault="00736A44" w:rsidP="005D4A38">
            <w:pPr>
              <w:pStyle w:val="Default"/>
              <w:numPr>
                <w:ilvl w:val="0"/>
                <w:numId w:val="1"/>
              </w:numPr>
              <w:rPr>
                <w:rFonts w:asciiTheme="majorHAnsi" w:hAnsiTheme="majorHAnsi"/>
                <w:sz w:val="20"/>
                <w:szCs w:val="20"/>
              </w:rPr>
            </w:pPr>
            <w:r>
              <w:rPr>
                <w:rFonts w:asciiTheme="majorHAnsi" w:hAnsiTheme="majorHAnsi"/>
                <w:sz w:val="20"/>
                <w:szCs w:val="20"/>
              </w:rPr>
              <w:t>Students help set their own learning targets based on self-monitoring activities and use the current lesson to accelerate their learning and advance to the next performance level. (I.e)</w:t>
            </w:r>
          </w:p>
          <w:p w14:paraId="42D04B54" w14:textId="6AFC5870" w:rsidR="00736A44" w:rsidRDefault="00736A44" w:rsidP="005D4A38">
            <w:pPr>
              <w:pStyle w:val="Default"/>
              <w:numPr>
                <w:ilvl w:val="0"/>
                <w:numId w:val="1"/>
              </w:numPr>
              <w:rPr>
                <w:rFonts w:asciiTheme="majorHAnsi" w:hAnsiTheme="majorHAnsi"/>
                <w:sz w:val="20"/>
                <w:szCs w:val="20"/>
              </w:rPr>
            </w:pPr>
            <w:r>
              <w:rPr>
                <w:rFonts w:asciiTheme="majorHAnsi" w:hAnsiTheme="majorHAnsi"/>
                <w:sz w:val="20"/>
                <w:szCs w:val="20"/>
              </w:rPr>
              <w:t>Students articulate their needs, seek out materials appropriate to their learning styles and needs, and monitor and track their own performance data to understand how they learn and where their time and efforts are best used. (III.a)</w:t>
            </w:r>
          </w:p>
          <w:p w14:paraId="3B35F3DB" w14:textId="77777777" w:rsidR="00736A44" w:rsidRDefault="0040521B" w:rsidP="005D4A38">
            <w:pPr>
              <w:pStyle w:val="Default"/>
              <w:numPr>
                <w:ilvl w:val="0"/>
                <w:numId w:val="1"/>
              </w:numPr>
              <w:rPr>
                <w:rFonts w:asciiTheme="majorHAnsi" w:hAnsiTheme="majorHAnsi"/>
                <w:sz w:val="20"/>
                <w:szCs w:val="20"/>
              </w:rPr>
            </w:pPr>
            <w:r>
              <w:rPr>
                <w:rFonts w:asciiTheme="majorHAnsi" w:hAnsiTheme="majorHAnsi"/>
                <w:sz w:val="20"/>
                <w:szCs w:val="20"/>
              </w:rPr>
              <w:t>Students strive to address their needs and close gaps between their level of performance and that of other students (III.b)</w:t>
            </w:r>
          </w:p>
          <w:p w14:paraId="4132089B" w14:textId="163B04EA" w:rsidR="00BE64F7" w:rsidRPr="00CE710A" w:rsidRDefault="0040521B" w:rsidP="005D4A38">
            <w:pPr>
              <w:pStyle w:val="Default"/>
              <w:numPr>
                <w:ilvl w:val="0"/>
                <w:numId w:val="1"/>
              </w:numPr>
              <w:rPr>
                <w:rFonts w:asciiTheme="majorHAnsi" w:hAnsiTheme="majorHAnsi"/>
                <w:sz w:val="20"/>
                <w:szCs w:val="20"/>
              </w:rPr>
            </w:pPr>
            <w:r>
              <w:rPr>
                <w:rFonts w:asciiTheme="majorHAnsi" w:hAnsiTheme="majorHAnsi"/>
                <w:sz w:val="20"/>
                <w:szCs w:val="20"/>
              </w:rPr>
              <w:t>Students self-assess and assume ownership for setting learning goals and evaluating and monitoring their progress. (III.h)</w:t>
            </w:r>
          </w:p>
        </w:tc>
      </w:tr>
    </w:tbl>
    <w:p w14:paraId="68E8FFE6" w14:textId="4A2F7224" w:rsidR="00BF2B16" w:rsidRDefault="00BF2B16"/>
    <w:sectPr w:rsidR="00BF2B16" w:rsidSect="00D03BE7">
      <w:pgSz w:w="12240" w:h="15840"/>
      <w:pgMar w:top="810" w:right="1800" w:bottom="27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2D0C"/>
    <w:multiLevelType w:val="hybridMultilevel"/>
    <w:tmpl w:val="A7FE2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4F7"/>
    <w:rsid w:val="00073024"/>
    <w:rsid w:val="000A68C7"/>
    <w:rsid w:val="00174797"/>
    <w:rsid w:val="002B5B97"/>
    <w:rsid w:val="0040521B"/>
    <w:rsid w:val="00470BBA"/>
    <w:rsid w:val="004B0C48"/>
    <w:rsid w:val="004F4378"/>
    <w:rsid w:val="005D4A38"/>
    <w:rsid w:val="00646D55"/>
    <w:rsid w:val="0065669D"/>
    <w:rsid w:val="006F752C"/>
    <w:rsid w:val="00736A44"/>
    <w:rsid w:val="00877951"/>
    <w:rsid w:val="008D2BF5"/>
    <w:rsid w:val="009B5EE1"/>
    <w:rsid w:val="009F1A69"/>
    <w:rsid w:val="00A64E51"/>
    <w:rsid w:val="00A90B5E"/>
    <w:rsid w:val="00B53A7B"/>
    <w:rsid w:val="00B93749"/>
    <w:rsid w:val="00BE64F7"/>
    <w:rsid w:val="00BF2B16"/>
    <w:rsid w:val="00C95191"/>
    <w:rsid w:val="00CD70E9"/>
    <w:rsid w:val="00CE710A"/>
    <w:rsid w:val="00D03BE7"/>
    <w:rsid w:val="00D85E2E"/>
    <w:rsid w:val="00D967AE"/>
    <w:rsid w:val="00DB5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D462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4F7"/>
    <w:rPr>
      <w:rFonts w:ascii="Verdana" w:eastAsiaTheme="minorHAnsi"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BE64F7"/>
    <w:pPr>
      <w:ind w:left="720"/>
      <w:contextualSpacing/>
    </w:pPr>
  </w:style>
  <w:style w:type="table" w:styleId="TableGrid">
    <w:name w:val="Table Grid"/>
    <w:basedOn w:val="TableNormal"/>
    <w:uiPriority w:val="59"/>
    <w:rsid w:val="00BE64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E64F7"/>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4F7"/>
    <w:rPr>
      <w:rFonts w:ascii="Verdana" w:eastAsiaTheme="minorHAnsi"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BE64F7"/>
    <w:pPr>
      <w:ind w:left="720"/>
      <w:contextualSpacing/>
    </w:pPr>
  </w:style>
  <w:style w:type="table" w:styleId="TableGrid">
    <w:name w:val="Table Grid"/>
    <w:basedOn w:val="TableNormal"/>
    <w:uiPriority w:val="59"/>
    <w:rsid w:val="00BE64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E64F7"/>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699</Words>
  <Characters>3986</Characters>
  <Application>Microsoft Macintosh Word</Application>
  <DocSecurity>0</DocSecurity>
  <Lines>33</Lines>
  <Paragraphs>9</Paragraphs>
  <ScaleCrop>false</ScaleCrop>
  <Company>TSD</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dc:description/>
  <cp:lastModifiedBy>Diane Lauer</cp:lastModifiedBy>
  <cp:revision>22</cp:revision>
  <dcterms:created xsi:type="dcterms:W3CDTF">2012-07-29T15:26:00Z</dcterms:created>
  <dcterms:modified xsi:type="dcterms:W3CDTF">2012-07-30T01:17:00Z</dcterms:modified>
</cp:coreProperties>
</file>